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43" w:rsidRPr="00C61243" w:rsidRDefault="00C61243" w:rsidP="00FB135D">
      <w:pPr>
        <w:pStyle w:val="ConsPlusNormal"/>
        <w:ind w:left="10773"/>
        <w:rPr>
          <w:sz w:val="20"/>
          <w:szCs w:val="20"/>
        </w:rPr>
      </w:pPr>
    </w:p>
    <w:p w:rsidR="00FB135D" w:rsidRPr="00C61243" w:rsidRDefault="00FB135D" w:rsidP="00C61243">
      <w:pPr>
        <w:pStyle w:val="ConsPlusNormal"/>
        <w:ind w:left="8364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0" w:name="P324"/>
      <w:bookmarkEnd w:id="0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1355"/>
        <w:gridCol w:w="62"/>
        <w:gridCol w:w="1559"/>
        <w:gridCol w:w="4191"/>
        <w:gridCol w:w="1701"/>
        <w:gridCol w:w="1276"/>
        <w:gridCol w:w="2188"/>
      </w:tblGrid>
      <w:tr w:rsidR="001F1AC2" w:rsidRPr="00570463" w:rsidTr="00A60996">
        <w:tc>
          <w:tcPr>
            <w:tcW w:w="1480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1AC2"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976" w:type="dxa"/>
            <w:gridSpan w:val="3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4191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F1AC2"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5165" w:type="dxa"/>
            <w:gridSpan w:val="3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F1AC2"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="001F1AC2"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F1AC2" w:rsidRPr="00570463" w:rsidTr="00A60996">
        <w:tc>
          <w:tcPr>
            <w:tcW w:w="1480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559" w:type="dxa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A60996">
        <w:tc>
          <w:tcPr>
            <w:tcW w:w="5732" w:type="dxa"/>
            <w:gridSpan w:val="5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 w:rsidR="00985039">
              <w:rPr>
                <w:sz w:val="20"/>
                <w:szCs w:val="20"/>
              </w:rPr>
              <w:t xml:space="preserve"> </w:t>
            </w:r>
            <w:r w:rsidR="00985039" w:rsidRPr="00985039">
              <w:rPr>
                <w:sz w:val="20"/>
                <w:szCs w:val="20"/>
              </w:rPr>
              <w:t>&lt;*</w:t>
            </w:r>
            <w:r w:rsidR="00985039">
              <w:rPr>
                <w:sz w:val="20"/>
                <w:szCs w:val="20"/>
              </w:rPr>
              <w:t>*</w:t>
            </w:r>
            <w:r w:rsidR="00985039"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4191" w:type="dxa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4</w:t>
            </w:r>
          </w:p>
        </w:tc>
        <w:tc>
          <w:tcPr>
            <w:tcW w:w="419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7</w:t>
            </w:r>
          </w:p>
        </w:tc>
        <w:tc>
          <w:tcPr>
            <w:tcW w:w="2188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8</w:t>
            </w:r>
          </w:p>
        </w:tc>
      </w:tr>
      <w:tr w:rsidR="001F1AC2" w:rsidRPr="001F1AC2" w:rsidTr="0032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1F1AC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7041E4" w:rsidP="001F1A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1F1AC2" w:rsidRPr="001F1AC2" w:rsidRDefault="001F1AC2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rPr>
                <w:b/>
                <w:color w:val="FF0000"/>
              </w:rPr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Земля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Default="00162CAF" w:rsidP="00162CAF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транспортных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недвижимого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5527D8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Строительные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Партии</w:t>
            </w: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E520FC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Default="00E520FC" w:rsidP="00E520FC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C" w:rsidRPr="001F1AC2" w:rsidRDefault="00E520FC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E520FC" w:rsidP="00E520FC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380B8C">
            <w:pPr>
              <w:pStyle w:val="ConsPlusNormal"/>
            </w:pPr>
            <w:r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F276B6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Вложения в программное обеспечение и базы данных - особо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520B83">
            <w:pPr>
              <w:pStyle w:val="ConsPlusNormal"/>
            </w:pPr>
            <w:r w:rsidRPr="001F1AC2">
              <w:t>Виды затрат</w:t>
            </w: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spacing w:after="0" w:line="240" w:lineRule="auto"/>
              <w:jc w:val="center"/>
            </w:pPr>
            <w:proofErr w:type="spellStart"/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341CCB" w:rsidRDefault="009A74B4" w:rsidP="009A74B4">
            <w:pPr>
              <w:pStyle w:val="ConsPlusNormal"/>
              <w:rPr>
                <w:highlight w:val="green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proofErr w:type="spellStart"/>
            <w:r w:rsidRPr="0014633D"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4633D" w:rsidRDefault="009A74B4" w:rsidP="009A74B4">
            <w:pPr>
              <w:pStyle w:val="ConsPlusNormal"/>
            </w:pPr>
            <w:r w:rsidRPr="0014633D">
              <w:t>Вложения в 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Вложения в права пользования иными </w:t>
            </w:r>
            <w:r w:rsidRPr="001F1AC2">
              <w:lastRenderedPageBreak/>
              <w:t>объектами интеллектуальной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 xml:space="preserve">Основные </w:t>
            </w:r>
            <w:r w:rsidRPr="001F1AC2"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lastRenderedPageBreak/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Виды затрат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rPr>
                <w:b/>
                <w:color w:val="FF0000"/>
              </w:rPr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Нефинансовые активы, составляющие казну,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Недвижимое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 xml:space="preserve">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Default="009A74B4" w:rsidP="009A74B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E741A8" w:rsidRDefault="009A74B4" w:rsidP="009A74B4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ЦМО</w:t>
            </w: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9A74B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Денежные средства учреждения на лицевых счетах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  <w:r w:rsidRPr="001F1AC2">
              <w:t>Направление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4B4" w:rsidRPr="001F1AC2" w:rsidRDefault="009A74B4" w:rsidP="009A74B4">
            <w:pPr>
              <w:pStyle w:val="ConsPlusNormal"/>
            </w:pPr>
          </w:p>
        </w:tc>
      </w:tr>
      <w:tr w:rsidR="00FE32F4" w:rsidRPr="009373B3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spacing w:after="0" w:line="240" w:lineRule="auto"/>
              <w:jc w:val="center"/>
            </w:pPr>
            <w:proofErr w:type="spellStart"/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9373B3" w:rsidRDefault="00FE32F4" w:rsidP="00FE32F4">
            <w:pPr>
              <w:pStyle w:val="ConsPlusNormal"/>
              <w:rPr>
                <w:highlight w:val="green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292C23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844967" w:rsidRDefault="00FE32F4" w:rsidP="00FE32F4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553E4A" w:rsidRDefault="00FE32F4" w:rsidP="00FE32F4">
            <w:pPr>
              <w:pStyle w:val="ConsPlusNormal"/>
              <w:rPr>
                <w:highlight w:val="yellow"/>
              </w:rPr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авансам по оплате труда и </w:t>
            </w:r>
            <w:r w:rsidRPr="001F1AC2">
              <w:lastRenderedPageBreak/>
              <w:t>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</w:t>
            </w:r>
            <w:r w:rsidRPr="001F1AC2">
              <w:lastRenderedPageBreak/>
              <w:t>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 xml:space="preserve">Расчеты по авансам по оплате иных выплат текущего характера </w:t>
            </w:r>
            <w:r w:rsidRPr="001F1AC2">
              <w:lastRenderedPageBreak/>
              <w:t>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Авансы подотчетным лицам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Default="00FE32F4" w:rsidP="00FE32F4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FE32F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C16E90" w:rsidRDefault="00FE32F4" w:rsidP="00FE3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F4" w:rsidRPr="001F1AC2" w:rsidRDefault="00FE32F4" w:rsidP="00FE32F4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Расчеты по доходам от страховых возмещений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343C2A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6E90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807CC3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r w:rsidRPr="00292C23">
              <w:t>Расчеты с финансовым органом по наличным денежным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92C23" w:rsidRDefault="0066249E" w:rsidP="0066249E">
            <w:pPr>
              <w:pStyle w:val="ConsPlusNormal"/>
            </w:pPr>
            <w:proofErr w:type="spellStart"/>
            <w:r w:rsidRPr="00292C23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F125FB" w:rsidRDefault="0066249E" w:rsidP="0066249E">
            <w:pPr>
              <w:pStyle w:val="ConsPlusNormal"/>
              <w:rPr>
                <w:highlight w:val="yellow"/>
              </w:rPr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долговым обязательствам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292C2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32" w:rsidRDefault="00157E32" w:rsidP="00157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292C23" w:rsidRPr="001F1AC2" w:rsidRDefault="00292C23" w:rsidP="00292C2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C23" w:rsidRPr="001F1AC2" w:rsidRDefault="00292C23" w:rsidP="00292C23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Расчеты по безвозмездным </w:t>
            </w:r>
            <w:r w:rsidRPr="001F1AC2">
              <w:lastRenderedPageBreak/>
              <w:t>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безвозмездным перечислениям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перечислениям международным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социальным пособиям и компенсациям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иным выплатам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Расчеты по страховым взносам на обязательное медицинское </w:t>
            </w:r>
            <w:r w:rsidRPr="001F1AC2">
              <w:lastRenderedPageBreak/>
              <w:t>страхование в Федеральный 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E00C7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>
              <w:t>Расчеты по единому налоговому платежу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</w:p>
        </w:tc>
      </w:tr>
      <w:tr w:rsidR="00E00C7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Default="00E00C71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>
              <w:t>Расчеты по единому страховому тарифу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  <w:r w:rsidRPr="001F1AC2">
              <w:t>Налоги и платежи организации</w:t>
            </w:r>
            <w:bookmarkStart w:id="1" w:name="_GoBack"/>
            <w:bookmarkEnd w:id="1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C71" w:rsidRPr="001F1AC2" w:rsidRDefault="00E00C71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C00F5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Default="00C00F58" w:rsidP="00C00F58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F58" w:rsidRPr="001F1AC2" w:rsidRDefault="00C00F58" w:rsidP="00C00F58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Иные расчеты прошлых лет, </w:t>
            </w:r>
            <w:r w:rsidRPr="001F1AC2">
              <w:lastRenderedPageBreak/>
              <w:t>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9863D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tabs>
                <w:tab w:val="left" w:pos="330"/>
                <w:tab w:val="center" w:pos="576"/>
              </w:tabs>
            </w:pPr>
            <w:r>
              <w:tab/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3D2" w:rsidRPr="001F1AC2" w:rsidRDefault="009863D2" w:rsidP="009863D2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C149D7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Резервы и оценочные 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очередного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Переданные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Разделы лицевых </w:t>
            </w:r>
            <w:r w:rsidRPr="001F1AC2">
              <w:lastRenderedPageBreak/>
              <w:t>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lastRenderedPageBreak/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Бюджетные ассигнования на иные очередные годы (за пределами </w:t>
            </w:r>
            <w:r w:rsidRPr="001F1AC2">
              <w:lastRenderedPageBreak/>
              <w:t>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Сметные (плановые, прогнозные) назначения 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2D05DE" w:rsidRDefault="0066249E" w:rsidP="0066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  <w:tr w:rsidR="0066249E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Default="0066249E" w:rsidP="0066249E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E" w:rsidRPr="001F1AC2" w:rsidRDefault="0066249E" w:rsidP="0066249E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proofErr w:type="spellStart"/>
            <w:r w:rsidRPr="001F1AC2">
              <w:rPr>
                <w:b/>
              </w:rPr>
              <w:t>Забалансовые</w:t>
            </w:r>
            <w:proofErr w:type="spellEnd"/>
            <w:r w:rsidRPr="001F1AC2">
              <w:rPr>
                <w:b/>
              </w:rPr>
              <w:t xml:space="preserve"> счета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- 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Бланки строгой отчетности (в </w:t>
            </w:r>
            <w:proofErr w:type="spellStart"/>
            <w:r w:rsidRPr="001F1AC2">
              <w:t>усл</w:t>
            </w:r>
            <w:proofErr w:type="spellEnd"/>
            <w:r w:rsidRPr="001F1AC2">
              <w:t>. 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БСО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(</w:t>
            </w:r>
            <w:proofErr w:type="spellStart"/>
            <w:r w:rsidRPr="001F1AC2">
              <w:t>Ус</w:t>
            </w:r>
            <w:r w:rsidR="00536234">
              <w:t>л</w:t>
            </w:r>
            <w:r w:rsidRPr="001F1AC2">
              <w:t>.ед</w:t>
            </w:r>
            <w:proofErr w:type="spellEnd"/>
            <w:r w:rsidRPr="001F1AC2">
              <w:t>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Переплаты пенсий и пособий вследствие неправильного применения законодательства о </w:t>
            </w:r>
            <w:r w:rsidRPr="001F1AC2">
              <w:lastRenderedPageBreak/>
              <w:t>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Нежилые помещения (здания и сооружения)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Машины и оборудование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НМА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EC5B5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52" w:rsidRPr="001F1AC2" w:rsidRDefault="00EC5B52" w:rsidP="00EC5B52">
            <w:pPr>
              <w:pStyle w:val="ConsPlusNormal"/>
            </w:pPr>
            <w:r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Договоры</w:t>
            </w:r>
          </w:p>
        </w:tc>
      </w:tr>
      <w:tr w:rsidR="00373B1F" w:rsidRPr="00933259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373B1F" w:rsidP="007041E4">
            <w:pPr>
              <w:pStyle w:val="ConsPlusNormal"/>
              <w:jc w:val="center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373B1F" w:rsidP="007041E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EC5B52" w:rsidP="00EC5B52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Имущество казны, переданное по договорам на обеспечение технической эксплуатации и содержание объектов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Контрагенты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F" w:rsidRPr="00536234" w:rsidRDefault="004F0BFA" w:rsidP="007041E4">
            <w:pPr>
              <w:pStyle w:val="ConsPlusNormal"/>
              <w:rPr>
                <w:color w:val="000000" w:themeColor="text1"/>
              </w:rPr>
            </w:pPr>
            <w:r w:rsidRPr="00536234">
              <w:rPr>
                <w:color w:val="000000" w:themeColor="text1"/>
              </w:rPr>
              <w:t>Соглашения</w:t>
            </w:r>
          </w:p>
        </w:tc>
      </w:tr>
      <w:tr w:rsidR="00FA6F3A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A" w:rsidRPr="00FA6F3A" w:rsidRDefault="00FA6F3A" w:rsidP="00FA6F3A">
            <w:pPr>
              <w:pStyle w:val="ConsPlusNormal"/>
              <w:jc w:val="center"/>
              <w:rPr>
                <w:highlight w:val="yellow"/>
              </w:rPr>
            </w:pPr>
            <w:r w:rsidRPr="00FA6F3A">
              <w:lastRenderedPageBreak/>
              <w:t>Дополнительные счета управленческого учета</w:t>
            </w:r>
          </w:p>
        </w:tc>
      </w:tr>
      <w:tr w:rsidR="000B01A5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0B01A5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536234" w:rsidRDefault="00E062C0" w:rsidP="00EC5B52">
            <w:pPr>
              <w:pStyle w:val="ConsPlusNormal"/>
            </w:pPr>
            <w:r w:rsidRPr="00536234">
              <w:t xml:space="preserve">Исправление ошибок прошлых лет по </w:t>
            </w:r>
            <w:proofErr w:type="spellStart"/>
            <w:r w:rsidRPr="00536234">
              <w:t>забалансовым</w:t>
            </w:r>
            <w:proofErr w:type="spellEnd"/>
            <w:r w:rsidRPr="00536234">
              <w:t xml:space="preserve">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A5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E10E43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7041E4">
            <w:pPr>
              <w:pStyle w:val="ConsPlusNormal"/>
              <w:jc w:val="center"/>
            </w:pPr>
            <w:r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10E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536234" w:rsidRDefault="00E10E43" w:rsidP="00EC5B52">
            <w:pPr>
              <w:pStyle w:val="ConsPlusNormal"/>
            </w:pPr>
            <w:r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43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FE6066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7041E4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10E43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Default="00FE6066" w:rsidP="00EC5B52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66" w:rsidRPr="00FE6066" w:rsidRDefault="00FE6066" w:rsidP="00FE6066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2" w:name="Par5693"/>
      <w:bookmarkEnd w:id="2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proofErr w:type="spellStart"/>
      <w:r>
        <w:t>ДопКл</w:t>
      </w:r>
      <w:proofErr w:type="spellEnd"/>
      <w:r>
        <w:t xml:space="preserve">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Авансы подотчетным лицам 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ценностям, работам, услугам в соответствии с требованиями Налогового </w:t>
      </w:r>
      <w:hyperlink r:id="rId5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lastRenderedPageBreak/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>, отражение 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proofErr w:type="spellStart"/>
      <w:r>
        <w:t>гКБК</w:t>
      </w:r>
      <w:proofErr w:type="spellEnd"/>
      <w:r>
        <w:t xml:space="preserve">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64"/>
    <w:rsid w:val="00023A29"/>
    <w:rsid w:val="00023F22"/>
    <w:rsid w:val="000247E9"/>
    <w:rsid w:val="0003329B"/>
    <w:rsid w:val="00086880"/>
    <w:rsid w:val="000B01A5"/>
    <w:rsid w:val="000B277E"/>
    <w:rsid w:val="000D4C67"/>
    <w:rsid w:val="001057CB"/>
    <w:rsid w:val="0014178B"/>
    <w:rsid w:val="00145E4B"/>
    <w:rsid w:val="0014633D"/>
    <w:rsid w:val="00157E32"/>
    <w:rsid w:val="00162CAF"/>
    <w:rsid w:val="00176FA2"/>
    <w:rsid w:val="00177681"/>
    <w:rsid w:val="00181C4B"/>
    <w:rsid w:val="001A3E35"/>
    <w:rsid w:val="001B53E3"/>
    <w:rsid w:val="001D0ED9"/>
    <w:rsid w:val="001D3147"/>
    <w:rsid w:val="001E0CBC"/>
    <w:rsid w:val="001F03B2"/>
    <w:rsid w:val="001F1AC2"/>
    <w:rsid w:val="001F1DD4"/>
    <w:rsid w:val="001F62BC"/>
    <w:rsid w:val="00290F2F"/>
    <w:rsid w:val="00292C23"/>
    <w:rsid w:val="002977B1"/>
    <w:rsid w:val="002A70D7"/>
    <w:rsid w:val="002D05DE"/>
    <w:rsid w:val="002E76D3"/>
    <w:rsid w:val="00326046"/>
    <w:rsid w:val="00341CCB"/>
    <w:rsid w:val="0034229E"/>
    <w:rsid w:val="00343C2A"/>
    <w:rsid w:val="003444F2"/>
    <w:rsid w:val="003529FC"/>
    <w:rsid w:val="003578DC"/>
    <w:rsid w:val="00373B1F"/>
    <w:rsid w:val="00380B8C"/>
    <w:rsid w:val="003B6574"/>
    <w:rsid w:val="003C22B4"/>
    <w:rsid w:val="003C79C4"/>
    <w:rsid w:val="003D10D8"/>
    <w:rsid w:val="0040312A"/>
    <w:rsid w:val="00404FFC"/>
    <w:rsid w:val="0045790C"/>
    <w:rsid w:val="004A68BD"/>
    <w:rsid w:val="004B4D70"/>
    <w:rsid w:val="004B6AA8"/>
    <w:rsid w:val="004C304E"/>
    <w:rsid w:val="004D537A"/>
    <w:rsid w:val="004F0BFA"/>
    <w:rsid w:val="005161D8"/>
    <w:rsid w:val="00517FB5"/>
    <w:rsid w:val="00520B83"/>
    <w:rsid w:val="00525D1A"/>
    <w:rsid w:val="00536234"/>
    <w:rsid w:val="00550D6F"/>
    <w:rsid w:val="0055160B"/>
    <w:rsid w:val="00552390"/>
    <w:rsid w:val="005527D8"/>
    <w:rsid w:val="00553E4A"/>
    <w:rsid w:val="00576990"/>
    <w:rsid w:val="005A7C40"/>
    <w:rsid w:val="006271C1"/>
    <w:rsid w:val="0066249E"/>
    <w:rsid w:val="006A072D"/>
    <w:rsid w:val="006A4048"/>
    <w:rsid w:val="006A49C5"/>
    <w:rsid w:val="006B61F5"/>
    <w:rsid w:val="006C6C87"/>
    <w:rsid w:val="006D6C86"/>
    <w:rsid w:val="006D7640"/>
    <w:rsid w:val="006F49DF"/>
    <w:rsid w:val="007041E4"/>
    <w:rsid w:val="007177DD"/>
    <w:rsid w:val="00735375"/>
    <w:rsid w:val="0077128E"/>
    <w:rsid w:val="0077719A"/>
    <w:rsid w:val="00777E85"/>
    <w:rsid w:val="008065AF"/>
    <w:rsid w:val="00807CC3"/>
    <w:rsid w:val="0081471D"/>
    <w:rsid w:val="00815742"/>
    <w:rsid w:val="00835C4C"/>
    <w:rsid w:val="008360A6"/>
    <w:rsid w:val="00844967"/>
    <w:rsid w:val="00892F03"/>
    <w:rsid w:val="008B4E1F"/>
    <w:rsid w:val="008B7B64"/>
    <w:rsid w:val="008C70D9"/>
    <w:rsid w:val="008E12B8"/>
    <w:rsid w:val="009043B1"/>
    <w:rsid w:val="00933259"/>
    <w:rsid w:val="009373B3"/>
    <w:rsid w:val="00942115"/>
    <w:rsid w:val="009430C3"/>
    <w:rsid w:val="009750D3"/>
    <w:rsid w:val="00985039"/>
    <w:rsid w:val="009863D2"/>
    <w:rsid w:val="00991D00"/>
    <w:rsid w:val="009A74B4"/>
    <w:rsid w:val="009B5D6A"/>
    <w:rsid w:val="009C19BA"/>
    <w:rsid w:val="009C7A6C"/>
    <w:rsid w:val="009D7040"/>
    <w:rsid w:val="009F7F91"/>
    <w:rsid w:val="00A02570"/>
    <w:rsid w:val="00A21BED"/>
    <w:rsid w:val="00A2653C"/>
    <w:rsid w:val="00A429F7"/>
    <w:rsid w:val="00A60996"/>
    <w:rsid w:val="00A8247A"/>
    <w:rsid w:val="00AB326D"/>
    <w:rsid w:val="00AF4FEC"/>
    <w:rsid w:val="00B15CA4"/>
    <w:rsid w:val="00B54B05"/>
    <w:rsid w:val="00BA4F2F"/>
    <w:rsid w:val="00BC0FE3"/>
    <w:rsid w:val="00BF544D"/>
    <w:rsid w:val="00C00F58"/>
    <w:rsid w:val="00C149D7"/>
    <w:rsid w:val="00C16E90"/>
    <w:rsid w:val="00C44D20"/>
    <w:rsid w:val="00C61243"/>
    <w:rsid w:val="00C64865"/>
    <w:rsid w:val="00CD5115"/>
    <w:rsid w:val="00D2377E"/>
    <w:rsid w:val="00D52466"/>
    <w:rsid w:val="00D71C57"/>
    <w:rsid w:val="00D85A9E"/>
    <w:rsid w:val="00DA5B90"/>
    <w:rsid w:val="00DA6C9F"/>
    <w:rsid w:val="00DD31A3"/>
    <w:rsid w:val="00DD36BA"/>
    <w:rsid w:val="00E00C71"/>
    <w:rsid w:val="00E062C0"/>
    <w:rsid w:val="00E10E43"/>
    <w:rsid w:val="00E520FC"/>
    <w:rsid w:val="00E5512E"/>
    <w:rsid w:val="00E70855"/>
    <w:rsid w:val="00E741A8"/>
    <w:rsid w:val="00E96594"/>
    <w:rsid w:val="00EC5B52"/>
    <w:rsid w:val="00ED3F17"/>
    <w:rsid w:val="00F125FB"/>
    <w:rsid w:val="00F276B6"/>
    <w:rsid w:val="00F31CA6"/>
    <w:rsid w:val="00F40049"/>
    <w:rsid w:val="00F443B8"/>
    <w:rsid w:val="00F50CB8"/>
    <w:rsid w:val="00F520D5"/>
    <w:rsid w:val="00FA6F3A"/>
    <w:rsid w:val="00FA6FE5"/>
    <w:rsid w:val="00FB135D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4ED0-C7EA-4FF4-9317-7D8EA9E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89202&amp;date=19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7C61-878C-4A1F-B7A3-546E176A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46</Pages>
  <Words>7641</Words>
  <Characters>43558</Characters>
  <Application>Microsoft Office Word</Application>
  <DocSecurity>2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Никулина Ирина Евгеньевна</cp:lastModifiedBy>
  <cp:revision>4</cp:revision>
  <cp:lastPrinted>2021-10-04T09:33:00Z</cp:lastPrinted>
  <dcterms:created xsi:type="dcterms:W3CDTF">2023-01-22T09:43:00Z</dcterms:created>
  <dcterms:modified xsi:type="dcterms:W3CDTF">2023-01-22T13:13:00Z</dcterms:modified>
</cp:coreProperties>
</file>